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.IV.7151......2017.ES                                Brzesko, dnia ....11.2017r.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listopada 2017r. w Brzesku, pomiędzy Gminą Brzesko reprezentowaną przez: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70,25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t xml:space="preserve">z przynależnym do lokalu pomieszczeniem piwnicznym, o powierzchni użytkowej: </w:t>
      </w:r>
      <w:r>
        <w:rPr>
          <w:rFonts w:ascii="Tahoma" w:hAnsi="Tahoma" w:cs="Tahoma"/>
          <w:b/>
          <w:bCs/>
        </w:rPr>
        <w:t>76,17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najemcy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najemcę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A251F6">
        <w:rPr>
          <w:rFonts w:ascii="Tahoma" w:hAnsi="Tahoma" w:cs="Tahoma"/>
          <w:b/>
          <w:bCs/>
        </w:rPr>
        <w:t>.....   listopada 2017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>należnego za miesiąc luty 2018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lutego 2018</w:t>
      </w:r>
      <w:bookmarkStart w:id="0" w:name="_GoBack"/>
      <w:bookmarkEnd w:id="0"/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2016r. poz.2147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8429B8" w:rsidRDefault="008429B8" w:rsidP="008429B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8429B8" w:rsidRDefault="008429B8" w:rsidP="008429B8">
      <w:pPr>
        <w:pStyle w:val="Tekstpodstawowy"/>
        <w:ind w:firstLine="708"/>
      </w:pPr>
      <w:r>
        <w:t>4.Zmiana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8429B8" w:rsidP="008429B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8429B8" w:rsidRDefault="008429B8" w:rsidP="008429B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lastRenderedPageBreak/>
        <w:t>zmiany sposobu wykorzystania lokalu bez uzyskania pisemnej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8429B8" w:rsidRDefault="008429B8" w:rsidP="008429B8">
      <w:pPr>
        <w:pStyle w:val="Tekstpodstawowy"/>
        <w:spacing w:line="360" w:lineRule="auto"/>
      </w:pPr>
    </w:p>
    <w:p w:rsidR="008429B8" w:rsidRDefault="008429B8" w:rsidP="008429B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376A4D"/>
    <w:rsid w:val="007C2BBA"/>
    <w:rsid w:val="008429B8"/>
    <w:rsid w:val="00871E02"/>
    <w:rsid w:val="008933F3"/>
    <w:rsid w:val="008E1E40"/>
    <w:rsid w:val="00A251F6"/>
    <w:rsid w:val="00B54E55"/>
    <w:rsid w:val="00C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C214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8</cp:revision>
  <dcterms:created xsi:type="dcterms:W3CDTF">2017-11-06T11:37:00Z</dcterms:created>
  <dcterms:modified xsi:type="dcterms:W3CDTF">2017-11-06T12:22:00Z</dcterms:modified>
</cp:coreProperties>
</file>