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0BF30546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.0</w:t>
      </w:r>
      <w:r w:rsidR="00F02180">
        <w:rPr>
          <w:rFonts w:eastAsia="Times New Roman" w:cstheme="minorHAnsi"/>
          <w:sz w:val="24"/>
          <w:szCs w:val="24"/>
          <w:lang w:eastAsia="pl-PL"/>
        </w:rPr>
        <w:t>8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21D0FF6C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02180">
        <w:rPr>
          <w:rFonts w:eastAsia="Times New Roman" w:cstheme="minorHAnsi"/>
          <w:sz w:val="24"/>
          <w:szCs w:val="24"/>
          <w:lang w:eastAsia="pl-PL"/>
        </w:rPr>
        <w:t>sierpni</w:t>
      </w:r>
      <w:r w:rsidRPr="00D2134D">
        <w:rPr>
          <w:rFonts w:eastAsia="Times New Roman" w:cstheme="minorHAnsi"/>
          <w:sz w:val="24"/>
          <w:szCs w:val="24"/>
          <w:lang w:eastAsia="pl-PL"/>
        </w:rPr>
        <w:t>a 202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0AD2AC4D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146A4F29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>
        <w:rPr>
          <w:rFonts w:eastAsia="Times New Roman" w:cstheme="minorHAnsi"/>
          <w:sz w:val="24"/>
          <w:szCs w:val="24"/>
          <w:lang w:eastAsia="pl-PL"/>
        </w:rPr>
        <w:t>………………</w:t>
      </w:r>
      <w:r w:rsidR="00F02180">
        <w:rPr>
          <w:rFonts w:eastAsia="Times New Roman" w:cstheme="minorHAnsi"/>
          <w:sz w:val="24"/>
          <w:szCs w:val="24"/>
          <w:lang w:eastAsia="pl-PL"/>
        </w:rPr>
        <w:t>sierpni</w:t>
      </w:r>
      <w:r w:rsidR="00A9710A">
        <w:rPr>
          <w:rFonts w:eastAsia="Times New Roman" w:cstheme="minorHAnsi"/>
          <w:sz w:val="24"/>
          <w:szCs w:val="24"/>
          <w:lang w:eastAsia="pl-PL"/>
        </w:rPr>
        <w:t>a 2023 r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545B1869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listopad 2023 r. jest płatna </w:t>
      </w:r>
      <w:r>
        <w:rPr>
          <w:rFonts w:asciiTheme="minorHAnsi" w:hAnsiTheme="minorHAnsi" w:cstheme="minorHAnsi"/>
        </w:rPr>
        <w:br/>
        <w:t>w terminie do dnia 20 listopada 2023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7E704AE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3A2BDBB4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trzech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A02413">
        <w:rPr>
          <w:rFonts w:eastAsia="Times New Roman" w:cstheme="minorHAnsi"/>
          <w:sz w:val="24"/>
          <w:szCs w:val="24"/>
          <w:lang w:eastAsia="pl-PL"/>
        </w:rPr>
        <w:t>dwa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A774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314D18"/>
    <w:rsid w:val="003E28CD"/>
    <w:rsid w:val="005264A4"/>
    <w:rsid w:val="00526633"/>
    <w:rsid w:val="006613C9"/>
    <w:rsid w:val="006B6B1B"/>
    <w:rsid w:val="007F161A"/>
    <w:rsid w:val="009D6C4F"/>
    <w:rsid w:val="00A02413"/>
    <w:rsid w:val="00A60F42"/>
    <w:rsid w:val="00A9710A"/>
    <w:rsid w:val="00D2134D"/>
    <w:rsid w:val="00E22108"/>
    <w:rsid w:val="00EF1CD1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23</cp:revision>
  <cp:lastPrinted>2023-07-04T12:26:00Z</cp:lastPrinted>
  <dcterms:created xsi:type="dcterms:W3CDTF">2023-06-30T07:27:00Z</dcterms:created>
  <dcterms:modified xsi:type="dcterms:W3CDTF">2023-07-24T07:38:00Z</dcterms:modified>
</cp:coreProperties>
</file>